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60 vom 2. März 1983</w:t>
      </w:r>
    </w:p>
    <w:p>
      <w:r>
        <w:t>Bundesgericht (BGE), 1983-03-02, IT</w:t>
      </w:r>
    </w:p>
    <w:p>
      <w:r>
        <w:rPr>
          <w:b/>
        </w:rPr>
        <w:t xml:space="preserve">Quelle: </w:t>
      </w:r>
      <w:r>
        <w:t>https://mcp.opencaselaw.ch/entscheid/bge_109 IB 60</w:t>
      </w:r>
    </w:p>
    <w:p>
      <w:r>
        <w:t>FR: BGE 109 IB 60 du 2 mars 1983</w:t>
      </w:r>
    </w:p>
    <w:p>
      <w:r>
        <w:t>IT: BGE 109 IB 60 del 2 marzo 1983</w:t>
      </w:r>
    </w:p>
    <w:p>
      <w:pPr>
        <w:pStyle w:val="Heading2"/>
      </w:pPr>
      <w:r>
        <w:t>Regeste</w:t>
      </w:r>
    </w:p>
    <w:p>
      <w:r>
        <w:t>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w:t>
      </w:r>
    </w:p>
    <w:p>
      <w:pPr>
        <w:pStyle w:val="Heading2"/>
      </w:pPr>
      <w:r>
        <w:t>Volltext</w:t>
      </w:r>
    </w:p>
    <w:p>
      <w:r>
        <w:t>Urteilskopf 109 Ib 60 9. Estratto della sentenza 2 marzo 1983 della I Corte di diritto pubblico nella causa Federici c. Dipartimento federale di giustizia e polizia (opposizione a una domanda d'estradizione) 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 Sachverhalt ab Seite 61 BGE 109 Ib 60 S. 61 L'avvocato Federico Federici, cittadino italiano, è stato arrestato a Ginevra il 22 settembre 1982 per ordine dell'Ufficio federale di polizia (UFP), su richiesta dell'Ambasciata d'Italia a Berna presentata con nota verbale del 16 settembre 1982, ed è stato posto in detenzione provvisoria a titolo estradizionale nel carcere di Bois-Mermet a Losanna. La domanda formale d'estradizione è stata inoltrata lo stesso 22 settembre 1982 e l'avv. Federici ha interposto opposizione. Il Dipartimento federale di giustizia e polizia ha trasmesso gli atti al Tribunale federale in data 1o febbraio 1983, unitamente ad un rapporto 11 gennaio 1983 dell'UFP e ad osservazioni 27 gennaio 1983 del Ministero pubblico della Confederazione. Erwägungen Dai considerandi: 1. La legge federale sull'assistenza internazionale in materia penale (AIMP) del 20 marzo 1981 (RU 1981, pag. 846), entrata in vigore il 1o gennaio 1983, ha abrogato la legge federale sull'estradizione agli Stati stranieri (LEstr) del 22 gennaio 1892 ( art. 109 cpv. 1 AIMP ). In virtù della norma transitoria dell' art. 110 cpv. 1 AIMP , i procedimenti d'estradizione pendenti, come il presente, al momento dell'entrata in vigore della nuova legge sono tuttavia ultimati secondo le disposizioni procedurali della cessata LEstr. Il Tribunale federale deve quindi pronunciarsi quale unica istanza sull'opposizione del ricercato ai sensi BGE 109 Ib 60 S. 62 dell' art. 23 LEstr . Esso esamina liberamente, senza esser legato alle sole obiezioni dell'opponente, se le condizioni dell'estradizione sono adempiute, e può controllare anche gli aspetti formali sui quali spetta in primo luogo all'Ufficio federale di polizia di pronunciarsi ( DTF 105 Ib 296 consid. 1b, 101 Ia 62 segg. consid. 3, 421 consid. 1c; sentenza 3 agosto 1982 in re Suarez, destinata a pubblicazione, consid. 2c). 2. Per quel che concerne il diritto estradizionale materiale, il Tribunale federale deve applicare quello in vigore al momento in cui decide. a) Per quanto riguarda la legge, ciò risulta da un lato dalla norma abrogativa dell' art. 109 cpv. 1 AIMP , e dall'altro - e contrario - dal tenore dell' art. 110 cpv. 1 AIMP : questa disposizione, infatti, si limita a riservare per i procedimenti pendenti al 1o gennaio 1983 le disposizioni procedurali della vecchia legge, senza far cenno invece di quelle di diritto materiale. È appena il caso di avvertire che il principio della non-retroattività della legge penale non è in gioco, il diritto estradizionale regolando semplicemente una forma dell'assistenza giudiziaria fra gli Stati (cfr. SCHULTZ, Das schweizerische Auslieferungsrecht, pagg. 98, 322/23). D'altronde, non avrebbe senso pronunciarsi sull'ammissibilità dell'estradizione secondo il vecchio diritto, dal momento che lo Stato richiedente, presentando una nuova domanda, potrebbe provocare immediatamente una decisione fondata sulla nuova normativa (circa la rinnovabilità di principio della domanda d'estradizione, cfr. SCHULTZ, op.cit., pagg. 177/79 e nota 95). b) Alla stessa conclusione si giunge per quanto concerne l'applicazione della Convenzione europea d'estradizione (CEEstr), che regge i rapporti italo-svizzeri in materia. La Svizzera, in applicazione del decreto federale del 21 giugno 1979 concernente le riserve a detta Convenzione (RU 1982, pag. 889), ha notificato al Consiglio d'Europa - appunto con effetto a partire dal 1o gennaio 1983, data dell'entrata in vigore dell'AIMP - il ritiro di talune riserve e la modifica di una delle dichiarazioni inizialmente formulate (RU 1983, pag. 165). Ciò facendo, la Svizzera si è adeguata alla sollecitazione contenuta nell' art. 26 CEEstr , norma che invita le Parti contraenti, che avessero espresso delle riserve, a ritirarle non appena le circostanze lo permettono. Tale invito perderebbe parte della sua portata, ove riserve inizialmente formulate e poi ritirate rimanessero in vigore per i casi pendenti oltre il momento in cui la loro giustificazione è venuta a cadere. BGE 109 Ib 60 S. 63 Ciò significa che, a partire dal 1o gennaio 1983, le condizioni dell'estradizione a titolo principale sono determinate secondo la clausola generale prevista all'art. 2 § 1 CEEstr , disposizione alla quale il nuovo diritto interno è stato adeguato (cfr. art. 35 cpv. 1 lett. a AIMP ) e che è quindi divenuto caduco l'elenco dei reati estradizionali che ricalcava l'enumerazione contenuta nell' art. 3 LEstr (ritiro della riserva concernente l'art. 2 § 1). In secondo luogo, sono divenute caduche le riserve a suo tempo formulate a proposito degli art. 7 e 8 CEEstr e relative alle restrizioni frapposte dal precedente diritto interno all'estradizione per reati commessi su territorio svizzero o commessi all'estero, ma soggiacenti alla giurisdizione svizzera (ritiro delle riserve concernenti gli art. 7 e 8 CEEstr ). Infine, sono state riformulate le dichiarazioni fatte dalla Svizzera in punto all'art. 2 § 2 e all' art. 6 CEEstr . La nuova formulazione della prima dichiarazione non muta nulla alla situazione anteriore, nel senso che la Svizzera, andando oltre a quanto strettamente previsto dalla Convenzione, si riserva la facoltà, quando un'estradizione è o è stata accordata, di estenderne gli effetti a qualsiasi altro fatto punibile secondo una disposizione di diritto comune della legislazione svizzera, senza esigere che sia comminata una pena privativa della libertà. Quanto alla dichiarazione concernente l' art. 6 CEEstr , la nuova formulazione è dovuta al fatto che la nuova legge permette ormai l'estradizione di un cittadino svizzero, ove questi vi acconsenta (cfr. art. 7 cpv. 1 AIMP ), rispettivamente è dettata dalla necessità di menzionare il perseguimento penale surrogatorio in Svizzera (cfr. il messaggio del Consiglio federale dell'8 marzo 1976, FF 1976 II pag. 489, n. 62). 5. (...) a) In linea generale, Federici si proclama estraneo ai fatti imputatigli. In questa misura le sue censure debbono esser dichiarate improponibili. Per costante giurisprudenza, il tema della colpevolezza sfugge infatti alla cognizione del giudice dell'estradizione, che è vincolato dalle risultanze del mandato di cattura, fintanto almeno che esso non contenga lacune, contraddizioni o errori manifesti: la questione della colpa, in altri termini, è riservata al giudice italiano del merito ( DTF 107 Ib 76 consid. 3b, DTF 106 Ib 299 consid. 2, DTF 101 Ia 611 consid. 2; sentenza 3 agosto 1982 in re Suarez, consid. 6). Si osservi tuttavia che, accogliendo le critiche della dottrina, l' art. 53 AIMP impone ora di controllare l'alibi sollevato dal ricercato (messaggio 8 marzo 1976 del Consiglio federale, FF 1976 II pag. 481; cfr. BGE 109 Ib 60 S. 64 inoltre: DTF 95 I 467 consid. 5; SCHULTZ, op.cit., pag. 234 e nota 68; risoluzioni del colloquio preparatorio al X Congresso internazionale di diritto penale (Roma 1969), in Zeitschrift für die gesamte Strafrechtswissenschaft, 81/1969 pag. 243, e Revue internationale de droit pénal, 1968 pag. 831). Nel caso in esame, la verifica dell'alibi prodotto dall'opponente a proposito dell'imputazione di furto aggravato è però superflua, dal momento che essa è stata lasciata cadere, siccome inconsistente, dalle stesse autorità italiane.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